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eastAsia="黑体"/>
          <w:b/>
          <w:bCs/>
          <w:color w:val="auto"/>
          <w:sz w:val="30"/>
          <w:szCs w:val="30"/>
          <w:highlight w:val="white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2024年专业技术人员继续教育公需科目网络培训服务平台项目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宋体" w:hAnsi="宋体" w:eastAsia="黑体" w:cs="宋体"/>
          <w:color w:val="auto"/>
          <w:kern w:val="0"/>
          <w:szCs w:val="21"/>
          <w:lang w:val="en-US" w:eastAsia="zh-CN"/>
        </w:rPr>
      </w:pPr>
      <w:r>
        <w:rPr>
          <w:rFonts w:hint="eastAsia" w:eastAsia="黑体"/>
          <w:b/>
          <w:bCs w:val="0"/>
          <w:color w:val="auto"/>
          <w:sz w:val="32"/>
          <w:szCs w:val="32"/>
          <w:highlight w:val="white"/>
        </w:rPr>
        <w:t>磋商邀请</w:t>
      </w:r>
      <w:r>
        <w:rPr>
          <w:rFonts w:hint="eastAsia" w:eastAsia="黑体"/>
          <w:b/>
          <w:bCs w:val="0"/>
          <w:color w:val="auto"/>
          <w:sz w:val="32"/>
          <w:szCs w:val="32"/>
          <w:highlight w:val="white"/>
          <w:lang w:val="en-US" w:eastAsia="zh-CN"/>
        </w:rPr>
        <w:t>公告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湖南耀康项目管理有限公司（下称采购代理机构）受</w:t>
      </w:r>
      <w:r>
        <w:rPr>
          <w:rFonts w:hint="eastAsia" w:ascii="宋体" w:hAnsi="宋体" w:cs="宋体"/>
          <w:sz w:val="24"/>
          <w:szCs w:val="24"/>
          <w:lang w:eastAsia="zh-CN"/>
        </w:rPr>
        <w:t>衡阳开放大学</w:t>
      </w:r>
      <w:r>
        <w:rPr>
          <w:rFonts w:hint="eastAsia" w:ascii="宋体" w:hAnsi="宋体" w:cs="宋体"/>
          <w:sz w:val="24"/>
          <w:szCs w:val="24"/>
        </w:rPr>
        <w:t>的委托，对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2024年专业技术人员继续教育公需科目网络培训服务平台项目</w:t>
      </w:r>
      <w:r>
        <w:rPr>
          <w:rFonts w:hint="eastAsia" w:ascii="宋体" w:hAnsi="宋体" w:cs="宋体"/>
          <w:sz w:val="24"/>
          <w:szCs w:val="24"/>
        </w:rPr>
        <w:t>进行竞争性磋商采购，现采用发布公告方式，邀请符合资格条件的供应商参与竞争性磋商采购活动。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szCs w:val="21"/>
        </w:rPr>
      </w:pPr>
      <w:bookmarkStart w:id="0" w:name="_Toc15571"/>
      <w:bookmarkStart w:id="1" w:name="_Toc28842"/>
      <w:r>
        <w:rPr>
          <w:rFonts w:hint="eastAsia" w:ascii="宋体" w:hAnsi="宋体" w:cs="宋体"/>
          <w:b/>
          <w:sz w:val="22"/>
          <w:szCs w:val="22"/>
        </w:rPr>
        <w:t>一、项目概况</w:t>
      </w:r>
      <w:bookmarkEnd w:id="0"/>
      <w:bookmarkEnd w:id="1"/>
      <w:r>
        <w:rPr>
          <w:rFonts w:hint="eastAsia" w:ascii="宋体" w:hAnsi="宋体" w:cs="宋体"/>
          <w:b/>
          <w:sz w:val="22"/>
          <w:szCs w:val="22"/>
        </w:rPr>
        <w:t xml:space="preserve">  </w:t>
      </w:r>
      <w:r>
        <w:rPr>
          <w:rFonts w:hint="eastAsia" w:ascii="宋体" w:hAnsi="宋体" w:cs="宋体"/>
          <w:szCs w:val="21"/>
        </w:rPr>
        <w:t xml:space="preserve">      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1、采购项目名称：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2024年专业技术人员继续教育公需科目网络培训服务平台项目</w:t>
      </w:r>
    </w:p>
    <w:p>
      <w:pPr>
        <w:tabs>
          <w:tab w:val="right" w:pos="8844"/>
        </w:tabs>
        <w:adjustRightInd w:val="0"/>
        <w:snapToGrid w:val="0"/>
        <w:spacing w:line="360" w:lineRule="auto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委托代理编号：HNYK202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-0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23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bookmarkStart w:id="2" w:name="_Toc19953"/>
      <w:bookmarkStart w:id="3" w:name="_Toc2458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3、采购项目预算：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798200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.00元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4" w:name="Control 2" w:shapeid="_x0000_i1025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支持预付款，预付比例：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4、本项目对应的中小企业划分标准所属行业：其他未列明行业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5、评标方法：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6" w:name="Control 3" w:shapeid="_x0000_i1026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最低价法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Control 4" w:shapeid="_x0000_i1027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综合评分法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6、合同定价方式：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9" w:name="Control 7" w:shapeid="_x0000_i1028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固定总价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2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0" w:name="Control 5" w:shapeid="_x0000_i1029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固定单价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1" w:name="Control 7" w:shapeid="_x0000_i1030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成本补偿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2" w:name="Control 8" w:shapeid="_x0000_i1031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绩</w:t>
      </w:r>
      <w:bookmarkStart w:id="27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效激励</w:t>
      </w:r>
    </w:p>
    <w:bookmarkEnd w:id="27"/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7、合同履行期限：采购合同签订之日起</w:t>
      </w:r>
      <w:r>
        <w:rPr>
          <w:rFonts w:hint="eastAsia" w:ascii="宋体" w:hAnsi="宋体" w:eastAsia="宋体" w:cs="宋体"/>
          <w:sz w:val="24"/>
          <w:szCs w:val="24"/>
          <w:highlight w:val="yellow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8、本项目分阶段要求投标人提供以下保证：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3" w:name="Control 9" w:shapeid="_x0000_i1032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投标保证金：采购项目预算的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/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4" w:name="Control 10" w:shapeid="_x0000_i1033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履约保证金：中标金额的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/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5" w:name="Control 11" w:shapeid="_x0000_i1034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预付款保证金：预付款的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 /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16" w:name="Control 12" w:shapeid="_x0000_i1035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质量保证金：合同金额的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/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%；</w:t>
      </w:r>
    </w:p>
    <w:p>
      <w:pPr>
        <w:adjustRightInd w:val="0"/>
        <w:snapToGrid w:val="0"/>
        <w:spacing w:line="360" w:lineRule="auto"/>
        <w:jc w:val="both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4" w:name="_Toc27329"/>
      <w:bookmarkStart w:id="5" w:name="_Toc16059"/>
      <w:r>
        <w:rPr>
          <w:rFonts w:hint="eastAsia" w:ascii="宋体" w:hAnsi="宋体" w:eastAsia="宋体" w:cs="宋体"/>
          <w:b/>
          <w:bCs/>
          <w:sz w:val="24"/>
          <w:szCs w:val="24"/>
        </w:rPr>
        <w:t>二、采购人的采购需求</w:t>
      </w:r>
      <w:bookmarkEnd w:id="4"/>
      <w:bookmarkEnd w:id="5"/>
    </w:p>
    <w:tbl>
      <w:tblPr>
        <w:tblStyle w:val="3"/>
        <w:tblW w:w="4917" w:type="pct"/>
        <w:tblInd w:w="0" w:type="dxa"/>
        <w:tblBorders>
          <w:top w:val="none" w:color="auto" w:sz="0" w:space="0"/>
          <w:left w:val="none" w:color="auto" w:sz="0" w:space="0"/>
          <w:bottom w:val="single" w:color="999999" w:sz="6" w:space="0"/>
          <w:right w:val="single" w:color="999999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401"/>
        <w:gridCol w:w="1671"/>
        <w:gridCol w:w="1017"/>
        <w:gridCol w:w="528"/>
        <w:gridCol w:w="1286"/>
        <w:gridCol w:w="807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包名称</w:t>
            </w:r>
          </w:p>
        </w:tc>
        <w:tc>
          <w:tcPr>
            <w:tcW w:w="855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最高限价（元）</w:t>
            </w:r>
          </w:p>
        </w:tc>
        <w:tc>
          <w:tcPr>
            <w:tcW w:w="1020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标的名称</w:t>
            </w:r>
          </w:p>
        </w:tc>
        <w:tc>
          <w:tcPr>
            <w:tcW w:w="621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简要技术要求</w:t>
            </w:r>
          </w:p>
        </w:tc>
        <w:tc>
          <w:tcPr>
            <w:tcW w:w="322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785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标的预算（元）</w:t>
            </w:r>
          </w:p>
        </w:tc>
        <w:tc>
          <w:tcPr>
            <w:tcW w:w="493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节能产品</w:t>
            </w:r>
          </w:p>
        </w:tc>
        <w:tc>
          <w:tcPr>
            <w:tcW w:w="493" w:type="pct"/>
            <w:tcBorders>
              <w:top w:val="single" w:color="999999" w:sz="6" w:space="0"/>
              <w:left w:val="single" w:color="999999" w:sz="6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1"/>
                <w:szCs w:val="21"/>
                <w:lang w:val="en-US" w:eastAsia="zh-CN" w:bidi="ar"/>
              </w:rPr>
              <w:t>进口产品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999999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7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55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51元/人</w:t>
            </w:r>
          </w:p>
        </w:tc>
        <w:tc>
          <w:tcPr>
            <w:tcW w:w="1020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2024年专业技术人员继续教育公需科目网络培训服务平台项目</w:t>
            </w:r>
          </w:p>
        </w:tc>
        <w:tc>
          <w:tcPr>
            <w:tcW w:w="621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详见采购需求</w:t>
            </w:r>
          </w:p>
        </w:tc>
        <w:tc>
          <w:tcPr>
            <w:tcW w:w="322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85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sz w:val="21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798200.00</w:t>
            </w:r>
          </w:p>
        </w:tc>
        <w:tc>
          <w:tcPr>
            <w:tcW w:w="493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object>
                <v:shape id="_x0000_i1036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7" w:name="Control 13" w:shapeid="_x0000_i1036"/>
              </w:object>
            </w:r>
          </w:p>
        </w:tc>
        <w:tc>
          <w:tcPr>
            <w:tcW w:w="493" w:type="pct"/>
            <w:tcBorders>
              <w:top w:val="single" w:color="999999" w:sz="6" w:space="0"/>
              <w:left w:val="single" w:color="999999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 w:bidi="ar"/>
              </w:rPr>
              <w:object>
                <v:shape id="_x0000_i1037" o:spt="201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8" w:name="Control 14" w:shapeid="_x0000_i1037"/>
              </w:object>
            </w:r>
          </w:p>
        </w:tc>
      </w:tr>
    </w:tbl>
    <w:p>
      <w:pPr>
        <w:adjustRightInd w:val="0"/>
        <w:snapToGrid w:val="0"/>
        <w:spacing w:line="360" w:lineRule="auto"/>
        <w:jc w:val="both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6" w:name="_Toc6215"/>
      <w:bookmarkStart w:id="7" w:name="_Toc12529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三、采购项目需落实的政府采购政策：</w:t>
      </w:r>
      <w:bookmarkEnd w:id="6"/>
      <w:bookmarkEnd w:id="7"/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1、优先采购：节能产品、环境标志产品享受加分或价格折扣。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2、支持中小企业：中小企业享受预留采购份额或价格折扣。</w:t>
      </w:r>
    </w:p>
    <w:p>
      <w:pPr>
        <w:adjustRightInd w:val="0"/>
        <w:snapToGrid w:val="0"/>
        <w:spacing w:line="360" w:lineRule="auto"/>
        <w:jc w:val="both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8" w:name="_Toc11465"/>
      <w:bookmarkStart w:id="9" w:name="_Toc30518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四、投标人的资格要求：</w:t>
      </w:r>
      <w:bookmarkEnd w:id="8"/>
      <w:bookmarkEnd w:id="9"/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1、投标人的基本资格条件：投标人必须是在中华人民共和国境内注册登记的法人、其他组织或者自然人，且应当符合《政府采购法》第二十二条第一款的规定。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2、落实政府采购政策需满足的资格要求：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9" w:name="Control 15" w:shapeid="_x0000_i1038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专门面向：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3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0" w:name="Control 16" w:shapeid="_x0000_i1039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中小企业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1" w:name="Control 17" w:shapeid="_x0000_i1040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小微企业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2" w:name="Control 18" w:shapeid="_x0000_i1041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监狱企业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3" w:name="Control 19" w:shapeid="_x0000_i1042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福利性单位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object>
          <v:shape id="_x0000_i104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w:control r:id="rId24" w:name="Control 20" w:shapeid="_x0000_i1043"/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强制分包：大型企业应将采购份额的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%分包给中小企业。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3、供应商特定资格条件：/。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4、单位负责人为同一人或者存在直接控股、管理关系的不同投标人，不得参加同一合同项下的政府采购活动。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5、为本采购项目提供整体设计、规范编制或者项目管理、监理、检测等服务的，不得再参加此项目的其他采购活动。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6、列入失信被执行人、重大税收违法失信主体名单、政府采购严重违法失信行为记录名单的，拒绝其参与政府采购活动。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7、联合体投标。本次招标不接受联合体投标。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color w:val="auto"/>
          <w:sz w:val="22"/>
          <w:szCs w:val="22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三、获取磋商文件的时间、地点、方式</w:t>
      </w:r>
      <w:bookmarkEnd w:id="2"/>
      <w:bookmarkEnd w:id="3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1、获取磋商文件的时间：从202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5 </w:t>
      </w:r>
      <w:r>
        <w:rPr>
          <w:rFonts w:hint="eastAsia" w:ascii="宋体" w:hAnsi="宋体" w:cs="宋体"/>
          <w:color w:val="auto"/>
          <w:sz w:val="24"/>
          <w:szCs w:val="24"/>
        </w:rPr>
        <w:t>日起至202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szCs w:val="24"/>
        </w:rPr>
        <w:t>日17:00止。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2、获取磋商文件的方式：供应商指定专人现场领取，不接受邮寄等其他方式。购买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文件时需提供以下材料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加盖单位公章的复印件1份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。其中包含：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1.营业执照；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2.组织机构代码证；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3.税务登记证；</w:t>
      </w:r>
    </w:p>
    <w:p>
      <w:pPr>
        <w:adjustRightInd w:val="0"/>
        <w:snapToGrid w:val="0"/>
        <w:spacing w:line="360" w:lineRule="auto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上述三项如已三证合一的，提供营业执照复印件即可。</w:t>
      </w:r>
    </w:p>
    <w:p>
      <w:pPr>
        <w:pStyle w:val="2"/>
        <w:ind w:firstLine="960" w:firstLineChars="4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4.法定代表身份证明、</w:t>
      </w:r>
      <w:r>
        <w:rPr>
          <w:rFonts w:hint="eastAsia" w:ascii="宋体" w:hAnsi="宋体" w:cs="宋体"/>
          <w:color w:val="auto"/>
          <w:sz w:val="24"/>
          <w:szCs w:val="24"/>
        </w:rPr>
        <w:t>法定代表人授权书（含法定代表人和被授权人身份证复印件）；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bookmarkStart w:id="10" w:name="_Toc8848"/>
      <w:bookmarkStart w:id="11" w:name="_Toc9706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磋商</w:t>
      </w:r>
      <w:r>
        <w:rPr>
          <w:rFonts w:hint="eastAsia" w:ascii="宋体" w:hAnsi="宋体" w:cs="宋体"/>
          <w:color w:val="auto"/>
          <w:sz w:val="24"/>
          <w:szCs w:val="24"/>
        </w:rPr>
        <w:t>文件售价：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00元/份，售后不退。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、获取磋商文件的地点：</w:t>
      </w:r>
      <w:r>
        <w:rPr>
          <w:rFonts w:hint="eastAsia" w:ascii="宋体" w:hAnsi="宋体" w:eastAsia="宋体" w:cs="微软雅黑"/>
          <w:kern w:val="0"/>
          <w:sz w:val="24"/>
          <w:szCs w:val="24"/>
          <w:u w:val="none"/>
        </w:rPr>
        <w:t>衡阳市石鼓区虎形山安置小区1栋</w:t>
      </w:r>
      <w:r>
        <w:rPr>
          <w:rFonts w:hint="eastAsia" w:ascii="宋体" w:hAnsi="宋体" w:eastAsia="宋体" w:cs="微软雅黑"/>
          <w:kern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微软雅黑"/>
          <w:kern w:val="0"/>
          <w:sz w:val="24"/>
          <w:szCs w:val="24"/>
          <w:u w:val="none"/>
        </w:rPr>
        <w:t>单元2208室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outlineLvl w:val="1"/>
        <w:rPr>
          <w:rFonts w:hint="eastAsia" w:ascii="宋体" w:hAnsi="宋体" w:cs="宋体"/>
          <w:b/>
          <w:color w:val="auto"/>
          <w:sz w:val="22"/>
          <w:szCs w:val="22"/>
        </w:rPr>
      </w:pPr>
      <w:r>
        <w:rPr>
          <w:rFonts w:hint="eastAsia" w:ascii="宋体" w:hAnsi="宋体" w:cs="宋体"/>
          <w:b/>
          <w:color w:val="auto"/>
          <w:sz w:val="22"/>
          <w:szCs w:val="22"/>
        </w:rPr>
        <w:t>四、响应文件提交的截止时间、开启时间及地点</w:t>
      </w:r>
      <w:bookmarkEnd w:id="10"/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1、首次提交响应文件的截止时间：202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0分（北京时间）；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2、首次响应文件的开启时间：202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0分（北京时间）；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2" w:name="_Toc19723"/>
      <w:bookmarkStart w:id="13" w:name="_Toc3"/>
      <w:r>
        <w:rPr>
          <w:rFonts w:hint="eastAsia" w:ascii="宋体" w:hAnsi="宋体" w:eastAsia="宋体" w:cs="宋体"/>
          <w:sz w:val="24"/>
          <w:szCs w:val="24"/>
        </w:rPr>
        <w:t>3、首次响应文件的递交地点及开启地点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</w:rPr>
        <w:t>衡阳市石鼓区虎形山安置小区1栋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u w:val="none"/>
        </w:rPr>
        <w:t>单元2208室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4、在截止时间后送达的响应文件为无效文件，采购人、采购代理机构应当拒收。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五、公告期限</w:t>
      </w:r>
      <w:bookmarkEnd w:id="12"/>
      <w:bookmarkEnd w:id="13"/>
    </w:p>
    <w:p>
      <w:pPr>
        <w:adjustRightInd w:val="0"/>
        <w:snapToGrid w:val="0"/>
        <w:spacing w:line="360" w:lineRule="auto"/>
        <w:ind w:firstLine="480" w:firstLineChars="200"/>
        <w:jc w:val="both"/>
        <w:outlineLvl w:val="9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1、本</w:t>
      </w:r>
      <w:r>
        <w:rPr>
          <w:rFonts w:hint="eastAsia" w:ascii="宋体" w:hAnsi="宋体" w:cs="宋体"/>
          <w:sz w:val="24"/>
          <w:szCs w:val="24"/>
          <w:highlight w:val="none"/>
        </w:rPr>
        <w:t>磋商公告在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衡阳开放大学</w:t>
      </w:r>
      <w:r>
        <w:rPr>
          <w:rFonts w:hint="eastAsia" w:ascii="宋体" w:hAnsi="宋体" w:cs="宋体"/>
          <w:sz w:val="24"/>
          <w:szCs w:val="24"/>
          <w:highlight w:val="none"/>
        </w:rPr>
        <w:t>（http://www.hyrtu.com/）发</w:t>
      </w:r>
      <w:r>
        <w:rPr>
          <w:rFonts w:hint="eastAsia" w:ascii="宋体" w:hAnsi="宋体" w:cs="宋体"/>
          <w:sz w:val="24"/>
          <w:szCs w:val="24"/>
        </w:rPr>
        <w:t>布。公告期限从本磋商公告发布之日起5个工作日。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2、在其他媒体发布的</w:t>
      </w:r>
      <w:r>
        <w:rPr>
          <w:rFonts w:hint="eastAsia" w:ascii="宋体" w:hAnsi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公告，公告内容以本</w:t>
      </w:r>
      <w:r>
        <w:rPr>
          <w:rFonts w:hint="eastAsia" w:ascii="宋体" w:hAnsi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公告指定媒体发布的公告为准；公告期限自本</w:t>
      </w:r>
      <w:r>
        <w:rPr>
          <w:rFonts w:hint="eastAsia" w:ascii="宋体" w:hAnsi="宋体" w:cs="宋体"/>
          <w:sz w:val="24"/>
          <w:szCs w:val="24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</w:rPr>
        <w:t>公告指定媒体最先发布公告之日起算。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sz w:val="22"/>
          <w:szCs w:val="22"/>
        </w:rPr>
      </w:pPr>
      <w:bookmarkStart w:id="14" w:name="_Toc28183"/>
      <w:bookmarkStart w:id="15" w:name="_Toc11061"/>
      <w:r>
        <w:rPr>
          <w:rFonts w:hint="eastAsia" w:ascii="宋体" w:hAnsi="宋体" w:cs="宋体"/>
          <w:b/>
          <w:sz w:val="22"/>
          <w:szCs w:val="22"/>
        </w:rPr>
        <w:t>六、疑问及质疑</w:t>
      </w:r>
      <w:bookmarkEnd w:id="14"/>
      <w:bookmarkEnd w:id="15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1、潜在投标人对采购活动事项如有疑问的，可以向采购人或采购代理机构提出询问。采购人或采购代理机构将在3个工作日内作出答复。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2、潜在投标人认为磋商文件或磋商公告使自己的合法权益受到损害的，可以在收到磋商文件之日或磋商公告期限届满之日起7个工作日内，以书面形式向采购人、采购代理机构提出质疑。</w:t>
      </w:r>
    </w:p>
    <w:p>
      <w:pPr>
        <w:adjustRightInd w:val="0"/>
        <w:snapToGrid w:val="0"/>
        <w:spacing w:line="360" w:lineRule="auto"/>
        <w:outlineLvl w:val="1"/>
        <w:rPr>
          <w:rFonts w:hint="eastAsia" w:ascii="宋体" w:hAnsi="宋体" w:cs="宋体"/>
          <w:b/>
          <w:sz w:val="22"/>
          <w:szCs w:val="22"/>
        </w:rPr>
      </w:pPr>
      <w:bookmarkStart w:id="16" w:name="_Toc7190"/>
      <w:bookmarkStart w:id="17" w:name="_Toc1904"/>
      <w:r>
        <w:rPr>
          <w:rFonts w:hint="eastAsia" w:ascii="宋体" w:hAnsi="宋体" w:cs="宋体"/>
          <w:b/>
          <w:sz w:val="22"/>
          <w:szCs w:val="22"/>
        </w:rPr>
        <w:t>七、联系方式</w:t>
      </w:r>
      <w:bookmarkEnd w:id="16"/>
      <w:bookmarkEnd w:id="17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18" w:name="_Toc24590"/>
      <w:bookmarkStart w:id="19" w:name="_Toc16652"/>
      <w:bookmarkStart w:id="20" w:name="_Toc16137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采购项目</w:t>
      </w:r>
      <w:bookmarkEnd w:id="18"/>
      <w:bookmarkEnd w:id="19"/>
      <w:bookmarkEnd w:id="20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联系人姓名：乃先生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电 话：0734-3101509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21" w:name="_Toc32677"/>
      <w:bookmarkStart w:id="22" w:name="_Toc19129"/>
      <w:bookmarkStart w:id="23" w:name="_Toc9066"/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采购人</w:t>
      </w:r>
      <w:bookmarkEnd w:id="21"/>
      <w:bookmarkEnd w:id="22"/>
      <w:bookmarkEnd w:id="23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24" w:name="_Toc16883"/>
      <w:bookmarkStart w:id="25" w:name="_Toc23914"/>
      <w:bookmarkStart w:id="26" w:name="_Toc22301"/>
      <w:r>
        <w:rPr>
          <w:rFonts w:hint="eastAsia" w:ascii="宋体" w:hAnsi="宋体" w:eastAsia="宋体" w:cs="宋体"/>
          <w:sz w:val="24"/>
          <w:szCs w:val="24"/>
        </w:rPr>
        <w:t>名  称：衡阳开放大学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 址：湖南省衡阳市蒸湘区衡祁路98号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/>
          <w:sz w:val="24"/>
          <w:szCs w:val="24"/>
          <w:highlight w:val="none"/>
          <w:u w:val="none"/>
          <w:lang w:val="en-US" w:eastAsia="zh-CN"/>
        </w:rPr>
        <w:t>陈</w:t>
      </w:r>
      <w:r>
        <w:rPr>
          <w:rFonts w:hint="eastAsia" w:ascii="宋体" w:hAnsi="宋体" w:eastAsia="宋体"/>
          <w:sz w:val="24"/>
          <w:szCs w:val="24"/>
          <w:highlight w:val="none"/>
          <w:u w:val="none"/>
          <w:lang w:eastAsia="zh-CN"/>
        </w:rPr>
        <w:t>先生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 话：</w:t>
      </w:r>
      <w:r>
        <w:rPr>
          <w:rFonts w:hint="eastAsia" w:ascii="宋体" w:hAnsi="宋体"/>
          <w:sz w:val="24"/>
          <w:szCs w:val="24"/>
          <w:highlight w:val="none"/>
          <w:u w:val="none"/>
          <w:lang w:val="en-US" w:eastAsia="zh-CN"/>
        </w:rPr>
        <w:t>0734-8127163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采购代理机构</w:t>
      </w:r>
      <w:bookmarkEnd w:id="24"/>
      <w:bookmarkEnd w:id="25"/>
      <w:bookmarkEnd w:id="26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  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湖南耀康项目管理有限公司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地址：衡阳市石鼓区碧桂园十里江湾天汇13栋2801室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联系人：乃先生     电话：0734-3101509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/19958998999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jYzNWJkMTM0Yjc5MDYyOTFkZjU4ZjNiY2U1YTgifQ=="/>
  </w:docVars>
  <w:rsids>
    <w:rsidRoot w:val="01513EB6"/>
    <w:rsid w:val="01513EB6"/>
    <w:rsid w:val="03E07A24"/>
    <w:rsid w:val="051931EE"/>
    <w:rsid w:val="099217C1"/>
    <w:rsid w:val="17745B06"/>
    <w:rsid w:val="28243AD4"/>
    <w:rsid w:val="2AEF03C9"/>
    <w:rsid w:val="2FB27C17"/>
    <w:rsid w:val="56260894"/>
    <w:rsid w:val="5A0E3B19"/>
    <w:rsid w:val="5B6D2AC1"/>
    <w:rsid w:val="621A4B5D"/>
    <w:rsid w:val="62DD677E"/>
    <w:rsid w:val="756E770A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4.xml"/><Relationship Id="rId8" Type="http://schemas.openxmlformats.org/officeDocument/2006/relationships/image" Target="media/image2.wmf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ontrol" Target="activeX/activeX19.xml"/><Relationship Id="rId23" Type="http://schemas.openxmlformats.org/officeDocument/2006/relationships/control" Target="activeX/activeX18.xml"/><Relationship Id="rId22" Type="http://schemas.openxmlformats.org/officeDocument/2006/relationships/control" Target="activeX/activeX17.xml"/><Relationship Id="rId21" Type="http://schemas.openxmlformats.org/officeDocument/2006/relationships/control" Target="activeX/activeX16.xml"/><Relationship Id="rId20" Type="http://schemas.openxmlformats.org/officeDocument/2006/relationships/control" Target="activeX/activeX15.xml"/><Relationship Id="rId2" Type="http://schemas.openxmlformats.org/officeDocument/2006/relationships/settings" Target="settings.xml"/><Relationship Id="rId19" Type="http://schemas.openxmlformats.org/officeDocument/2006/relationships/control" Target="activeX/activeX14.xml"/><Relationship Id="rId18" Type="http://schemas.openxmlformats.org/officeDocument/2006/relationships/control" Target="activeX/activeX13.xml"/><Relationship Id="rId17" Type="http://schemas.openxmlformats.org/officeDocument/2006/relationships/control" Target="activeX/activeX12.xml"/><Relationship Id="rId16" Type="http://schemas.openxmlformats.org/officeDocument/2006/relationships/control" Target="activeX/activeX11.xml"/><Relationship Id="rId15" Type="http://schemas.openxmlformats.org/officeDocument/2006/relationships/control" Target="activeX/activeX10.xml"/><Relationship Id="rId14" Type="http://schemas.openxmlformats.org/officeDocument/2006/relationships/control" Target="activeX/activeX9.xml"/><Relationship Id="rId13" Type="http://schemas.openxmlformats.org/officeDocument/2006/relationships/control" Target="activeX/activeX8.xml"/><Relationship Id="rId12" Type="http://schemas.openxmlformats.org/officeDocument/2006/relationships/control" Target="activeX/activeX7.xml"/><Relationship Id="rId11" Type="http://schemas.openxmlformats.org/officeDocument/2006/relationships/control" Target="activeX/activeX6.xml"/><Relationship Id="rId10" Type="http://schemas.openxmlformats.org/officeDocument/2006/relationships/control" Target="activeX/activeX5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2024-07-05T05:31:00Z</dcterms:created>
  <dc:creator>柱子</dc:creator>
  <cp:lastModifiedBy>柱子</cp:lastModifiedBy>
  <dcterms:modified xsi:type="dcterms:W3CDTF">2024-07-05T05:51:58Z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B33E476B15B34E72BDA2BF41C1D224D0_13</vt:lpwstr>
  </property>
</Properties>
</file>